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94" w:rsidRPr="00203DE4" w:rsidRDefault="006E5187" w:rsidP="006A7635">
      <w:pPr>
        <w:pStyle w:val="ab"/>
      </w:pPr>
      <w:r w:rsidRPr="00203DE4">
        <w:t>Структурные и люминесцентные свойства кубической керамики ZrO</w:t>
      </w:r>
      <w:r w:rsidRPr="00203DE4">
        <w:rPr>
          <w:vertAlign w:val="subscript"/>
        </w:rPr>
        <w:t>2</w:t>
      </w:r>
      <w:r w:rsidRPr="00203DE4">
        <w:t>-HfO</w:t>
      </w:r>
      <w:r w:rsidRPr="00203DE4">
        <w:rPr>
          <w:vertAlign w:val="subscript"/>
        </w:rPr>
        <w:t>2</w:t>
      </w:r>
      <w:r w:rsidRPr="00203DE4">
        <w:t>-Y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>-Eu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 xml:space="preserve">, выращенной методом </w:t>
      </w:r>
      <w:proofErr w:type="spellStart"/>
      <w:r w:rsidRPr="00203DE4">
        <w:t>соосаждения</w:t>
      </w:r>
      <w:proofErr w:type="spellEnd"/>
    </w:p>
    <w:p w:rsidR="005267D9" w:rsidRPr="00203DE4" w:rsidRDefault="006E5187" w:rsidP="001042AE">
      <w:pPr>
        <w:pStyle w:val="ad"/>
      </w:pPr>
      <w:r w:rsidRPr="00203DE4">
        <w:t>П. А. Дементьев</w:t>
      </w:r>
    </w:p>
    <w:p w:rsidR="00270A94" w:rsidRPr="00203DE4" w:rsidRDefault="006E5187" w:rsidP="001042AE">
      <w:pPr>
        <w:pStyle w:val="af"/>
      </w:pPr>
      <w:r w:rsidRPr="00203DE4">
        <w:t>ФТИ им. А. Ф. Иоффе, Санкт-Петербург, Россия</w:t>
      </w:r>
    </w:p>
    <w:p w:rsidR="00270A94" w:rsidRPr="00203DE4" w:rsidRDefault="006E5187" w:rsidP="001042AE">
      <w:pPr>
        <w:pStyle w:val="af3"/>
      </w:pPr>
      <w:r w:rsidRPr="00203DE4">
        <w:t>ZrO</w:t>
      </w:r>
      <w:r w:rsidRPr="00203DE4">
        <w:rPr>
          <w:vertAlign w:val="subscript"/>
        </w:rPr>
        <w:t>2</w:t>
      </w:r>
      <w:r w:rsidRPr="00203DE4">
        <w:t>-Y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>-Eu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 xml:space="preserve"> широко исследуется в качестве материала для термолюминесцентной дозиметрии, однако данный материал прозрачен для нейтронов</w:t>
      </w:r>
      <w:r w:rsidR="001042AE">
        <w:t xml:space="preserve"> </w:t>
      </w:r>
      <w:r w:rsidR="001042AE" w:rsidRPr="001042AE">
        <w:t>[1, 2]</w:t>
      </w:r>
      <w:r w:rsidRPr="00203DE4">
        <w:t>. В свою очередь гафний хорошо поглощает нейтроны и его добавление позволяет расширить п</w:t>
      </w:r>
      <w:bookmarkStart w:id="0" w:name="_GoBack"/>
      <w:bookmarkEnd w:id="0"/>
      <w:r w:rsidRPr="00203DE4">
        <w:t>рименимость данного материала в дозиметрии. Соответственно, одним из возможных материалов для создания радиационно- и химически стойких дозиметров является керамика ZrO</w:t>
      </w:r>
      <w:r w:rsidRPr="00203DE4">
        <w:rPr>
          <w:vertAlign w:val="subscript"/>
        </w:rPr>
        <w:t>2</w:t>
      </w:r>
      <w:r w:rsidRPr="00203DE4">
        <w:t>-HfO</w:t>
      </w:r>
      <w:r w:rsidRPr="00203DE4">
        <w:rPr>
          <w:vertAlign w:val="subscript"/>
        </w:rPr>
        <w:t>2</w:t>
      </w:r>
      <w:r w:rsidRPr="00203DE4">
        <w:t>-Y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>-Eu</w:t>
      </w:r>
      <w:r w:rsidRPr="00203DE4">
        <w:rPr>
          <w:vertAlign w:val="subscript"/>
        </w:rPr>
        <w:t>2</w:t>
      </w:r>
      <w:r w:rsidRPr="00203DE4">
        <w:t>O</w:t>
      </w:r>
      <w:r w:rsidRPr="00203DE4">
        <w:rPr>
          <w:vertAlign w:val="subscript"/>
        </w:rPr>
        <w:t>3</w:t>
      </w:r>
      <w:r w:rsidRPr="00203DE4">
        <w:t>.</w:t>
      </w:r>
    </w:p>
    <w:p w:rsidR="006A7635" w:rsidRDefault="006E5187" w:rsidP="001042AE">
      <w:pPr>
        <w:pStyle w:val="af3"/>
      </w:pPr>
      <w:r w:rsidRPr="00203DE4">
        <w:t>Показано, что оптическая ширина запрещенной зоны зависит от соотношения</w:t>
      </w:r>
      <w:r w:rsidR="00B2030F" w:rsidRPr="00203DE4">
        <w:t xml:space="preserve"> </w:t>
      </w:r>
      <w:r w:rsidR="001042AE" w:rsidRPr="001042AE">
        <w:rPr>
          <w:position w:val="-7"/>
        </w:rPr>
        <w:object w:dxaOrig="1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5.8pt;height:12pt;mso-position-horizontal:absolute" o:ole="">
            <v:imagedata r:id="rId6" o:title="" croptop="9781f" cropbottom="9781f"/>
          </v:shape>
          <o:OLEObject Type="Embed" ProgID="Equation.DSMT4" ShapeID="_x0000_i1026" DrawAspect="Content" ObjectID="_1822412649" r:id="rId7"/>
        </w:object>
      </w:r>
      <w:r w:rsidRPr="00203DE4">
        <w:t xml:space="preserve"> следующим образом: </w:t>
      </w:r>
      <w:r w:rsidR="001042AE" w:rsidRPr="001042AE">
        <w:rPr>
          <w:position w:val="-9"/>
        </w:rPr>
        <w:object w:dxaOrig="2100" w:dyaOrig="340">
          <v:shape id="_x0000_i1027" type="#_x0000_t75" style="width:105pt;height:12pt;mso-position-vertical:absolute" o:ole="">
            <v:imagedata r:id="rId8" o:title="" croptop="10941f" cropbottom="5470f"/>
          </v:shape>
          <o:OLEObject Type="Embed" ProgID="Equation.DSMT4" ShapeID="_x0000_i1027" DrawAspect="Content" ObjectID="_1822412650" r:id="rId9"/>
        </w:object>
      </w:r>
      <w:r w:rsidR="006A7635" w:rsidRPr="006A7635">
        <w:t xml:space="preserve"> (</w:t>
      </w:r>
      <w:r w:rsidR="006A7635">
        <w:t>см. рис. 1)</w:t>
      </w:r>
      <w:r w:rsidRPr="00203DE4">
        <w:t xml:space="preserve">. </w:t>
      </w:r>
      <w:r w:rsidR="006B7BF4">
        <w:t>У</w:t>
      </w:r>
      <w:r w:rsidRPr="00203DE4">
        <w:t xml:space="preserve">величение содержания гафния не влияет на положение и количество наблюдаемых полос в спектре люминесценции, а также на особенности их возбуждения. </w:t>
      </w:r>
      <w:r w:rsidR="006B7BF4">
        <w:t>О</w:t>
      </w:r>
      <w:r w:rsidRPr="00203DE4">
        <w:t xml:space="preserve">бразцы с содержанием гафния </w:t>
      </w:r>
      <w:r w:rsidR="00203DE4" w:rsidRPr="00203DE4">
        <w:rPr>
          <w:i/>
          <w:position w:val="-6"/>
        </w:rPr>
        <w:object w:dxaOrig="639" w:dyaOrig="240">
          <v:shape id="_x0000_i1028" type="#_x0000_t75" style="width:32.4pt;height:12pt" o:ole="">
            <v:imagedata r:id="rId10" o:title=""/>
          </v:shape>
          <o:OLEObject Type="Embed" ProgID="Equation.DSMT4" ShapeID="_x0000_i1028" DrawAspect="Content" ObjectID="_1822412651" r:id="rId11"/>
        </w:object>
      </w:r>
      <w:r w:rsidRPr="00203DE4">
        <w:t xml:space="preserve"> и 0</w:t>
      </w:r>
      <w:r w:rsidR="006A7635">
        <w:t>.</w:t>
      </w:r>
      <w:r w:rsidRPr="00203DE4">
        <w:t xml:space="preserve">77 обладают термолюминесцентными свойствами, подходящими для </w:t>
      </w:r>
      <w:proofErr w:type="spellStart"/>
      <w:r w:rsidRPr="00203DE4">
        <w:t>термодозиметрии</w:t>
      </w:r>
      <w:proofErr w:type="spellEnd"/>
      <w:r w:rsidRPr="00203DE4">
        <w:t xml:space="preserve">. Наибольшим квантовым выходом обладают образцы c </w:t>
      </w:r>
      <w:r w:rsidR="006A7635" w:rsidRPr="006A7635">
        <w:rPr>
          <w:position w:val="-6"/>
        </w:rPr>
        <w:object w:dxaOrig="1040" w:dyaOrig="240">
          <v:shape id="_x0000_i1029" type="#_x0000_t75" style="width:51.6pt;height:12pt" o:ole="">
            <v:imagedata r:id="rId12" o:title=""/>
          </v:shape>
          <o:OLEObject Type="Embed" ProgID="Equation.DSMT4" ShapeID="_x0000_i1029" DrawAspect="Content" ObjectID="_1822412652" r:id="rId13"/>
        </w:object>
      </w:r>
      <w:r w:rsidRPr="00203DE4">
        <w:t>.</w:t>
      </w:r>
    </w:p>
    <w:p w:rsidR="00270A94" w:rsidRDefault="006A7635" w:rsidP="001042AE">
      <w:pPr>
        <w:pStyle w:val="af5"/>
      </w:pPr>
      <w:r>
        <w:drawing>
          <wp:inline distT="0" distB="0" distL="0" distR="0" wp14:anchorId="50FABA3D" wp14:editId="3DC79159">
            <wp:extent cx="1938928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LCOM-D-24-10432_R1-1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459" cy="165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635" w:rsidRPr="006A7635" w:rsidRDefault="006A7635" w:rsidP="001042AE">
      <w:pPr>
        <w:pStyle w:val="af7"/>
      </w:pPr>
      <w:r w:rsidRPr="006A7635">
        <w:rPr>
          <w:b/>
        </w:rPr>
        <w:t>Рис. 1.</w:t>
      </w:r>
      <w:r w:rsidRPr="006A7635">
        <w:t xml:space="preserve"> Зависимость оптической ширины запрещенной зоны керамики ZrO</w:t>
      </w:r>
      <w:r w:rsidRPr="006A7635">
        <w:rPr>
          <w:vertAlign w:val="subscript"/>
        </w:rPr>
        <w:t>2</w:t>
      </w:r>
      <w:r>
        <w:noBreakHyphen/>
      </w:r>
      <w:r w:rsidRPr="006A7635">
        <w:t>HfO</w:t>
      </w:r>
      <w:r w:rsidRPr="006A7635">
        <w:rPr>
          <w:vertAlign w:val="subscript"/>
        </w:rPr>
        <w:t>2</w:t>
      </w:r>
      <w:r w:rsidRPr="006A7635">
        <w:t>-Y</w:t>
      </w:r>
      <w:r w:rsidRPr="006A7635">
        <w:rPr>
          <w:vertAlign w:val="subscript"/>
        </w:rPr>
        <w:t>2</w:t>
      </w:r>
      <w:r w:rsidRPr="006A7635">
        <w:t>O</w:t>
      </w:r>
      <w:r w:rsidRPr="006A7635">
        <w:rPr>
          <w:vertAlign w:val="subscript"/>
        </w:rPr>
        <w:t>3</w:t>
      </w:r>
      <w:r w:rsidRPr="006A7635">
        <w:t>-Eu</w:t>
      </w:r>
      <w:r w:rsidRPr="006A7635">
        <w:rPr>
          <w:vertAlign w:val="subscript"/>
        </w:rPr>
        <w:t>2</w:t>
      </w:r>
      <w:r w:rsidRPr="006A7635">
        <w:t>O</w:t>
      </w:r>
      <w:r w:rsidRPr="006A7635">
        <w:rPr>
          <w:vertAlign w:val="subscript"/>
        </w:rPr>
        <w:t>3</w:t>
      </w:r>
      <w:r w:rsidRPr="006A7635">
        <w:t xml:space="preserve"> от соотношения </w:t>
      </w:r>
      <w:r w:rsidR="009A014C" w:rsidRPr="009A014C">
        <w:rPr>
          <w:position w:val="-7"/>
        </w:rPr>
        <w:object w:dxaOrig="1620" w:dyaOrig="360">
          <v:shape id="_x0000_i1030" type="#_x0000_t75" style="width:82.8pt;height:12pt" o:ole="">
            <v:imagedata r:id="rId15" o:title="" croptop="10321f" cropbottom="10321f"/>
          </v:shape>
          <o:OLEObject Type="Embed" ProgID="Equation.DSMT4" ShapeID="_x0000_i1030" DrawAspect="Content" ObjectID="_1822412653" r:id="rId16"/>
        </w:object>
      </w:r>
      <w:r w:rsidRPr="006A7635">
        <w:t>.</w:t>
      </w:r>
    </w:p>
    <w:p w:rsidR="00270A94" w:rsidRPr="00203DE4" w:rsidRDefault="006E5187" w:rsidP="001042AE">
      <w:pPr>
        <w:pStyle w:val="af3"/>
      </w:pPr>
      <w:r w:rsidRPr="00203DE4">
        <w:t>Исследование выполнено за счет гранта Российского научного фонда (проект № 23-</w:t>
      </w:r>
      <w:r w:rsidR="00203DE4" w:rsidRPr="00203DE4">
        <w:t>24</w:t>
      </w:r>
      <w:r w:rsidRPr="00203DE4">
        <w:t>-0</w:t>
      </w:r>
      <w:r w:rsidR="00203DE4" w:rsidRPr="00203DE4">
        <w:t>1245</w:t>
      </w:r>
      <w:r w:rsidRPr="00203DE4">
        <w:t>, https://rscf.ru/project/23-2</w:t>
      </w:r>
      <w:r w:rsidR="00203DE4" w:rsidRPr="00203DE4">
        <w:t>4</w:t>
      </w:r>
      <w:r w:rsidRPr="00203DE4">
        <w:t>-0</w:t>
      </w:r>
      <w:r w:rsidR="00203DE4" w:rsidRPr="00203DE4">
        <w:t>1245</w:t>
      </w:r>
      <w:r w:rsidRPr="00203DE4">
        <w:t>).</w:t>
      </w:r>
    </w:p>
    <w:p w:rsidR="00203DE4" w:rsidRPr="00825B20" w:rsidRDefault="001042AE" w:rsidP="00B65DD5">
      <w:pPr>
        <w:pStyle w:val="af9"/>
      </w:pPr>
      <w:r w:rsidRPr="00825B20">
        <w:t>Литература</w:t>
      </w:r>
    </w:p>
    <w:p w:rsidR="001042AE" w:rsidRPr="006B7BF4" w:rsidRDefault="001042AE" w:rsidP="00B65DD5">
      <w:pPr>
        <w:pStyle w:val="a"/>
      </w:pPr>
      <w:r w:rsidRPr="00825B20">
        <w:t xml:space="preserve">D. </w:t>
      </w:r>
      <w:proofErr w:type="spellStart"/>
      <w:r w:rsidRPr="00825B20">
        <w:t>N</w:t>
      </w:r>
      <w:r w:rsidR="006B7BF4">
        <w:t>akauchi</w:t>
      </w:r>
      <w:proofErr w:type="spellEnd"/>
      <w:r w:rsidR="006B7BF4">
        <w:t xml:space="preserve">, G. Okada, T. </w:t>
      </w:r>
      <w:proofErr w:type="spellStart"/>
      <w:r w:rsidR="006B7BF4">
        <w:t>Yanagida</w:t>
      </w:r>
      <w:proofErr w:type="spellEnd"/>
      <w:r w:rsidR="006B7BF4">
        <w:t xml:space="preserve">. </w:t>
      </w:r>
      <w:r w:rsidRPr="006B7BF4">
        <w:t xml:space="preserve">J. </w:t>
      </w:r>
      <w:proofErr w:type="spellStart"/>
      <w:r w:rsidRPr="006B7BF4">
        <w:t>Lumin</w:t>
      </w:r>
      <w:proofErr w:type="spellEnd"/>
      <w:r w:rsidRPr="006B7BF4">
        <w:t xml:space="preserve">. </w:t>
      </w:r>
      <w:r w:rsidRPr="006B7BF4">
        <w:rPr>
          <w:b/>
        </w:rPr>
        <w:t>172</w:t>
      </w:r>
      <w:r w:rsidRPr="006B7BF4">
        <w:t>, 61 (2016)</w:t>
      </w:r>
      <w:r w:rsidR="00825B20">
        <w:t>.</w:t>
      </w:r>
    </w:p>
    <w:p w:rsidR="001042AE" w:rsidRPr="00825B20" w:rsidRDefault="001042AE" w:rsidP="006B7BF4">
      <w:pPr>
        <w:pStyle w:val="a"/>
      </w:pPr>
      <w:r w:rsidRPr="00825B20">
        <w:t>S</w:t>
      </w:r>
      <w:r w:rsidRPr="006B7BF4">
        <w:t xml:space="preserve">. </w:t>
      </w:r>
      <w:proofErr w:type="spellStart"/>
      <w:r w:rsidRPr="00825B20">
        <w:t>Nikiforov</w:t>
      </w:r>
      <w:proofErr w:type="spellEnd"/>
      <w:r w:rsidRPr="006B7BF4">
        <w:t xml:space="preserve">, </w:t>
      </w:r>
      <w:r w:rsidR="006B7BF4" w:rsidRPr="006B7BF4">
        <w:t>et al</w:t>
      </w:r>
      <w:r w:rsidRPr="006B7BF4">
        <w:t xml:space="preserve">. </w:t>
      </w:r>
      <w:r w:rsidRPr="00825B20">
        <w:t xml:space="preserve">Crystals </w:t>
      </w:r>
      <w:r w:rsidRPr="00B65DD5">
        <w:rPr>
          <w:b/>
        </w:rPr>
        <w:t>13</w:t>
      </w:r>
      <w:r w:rsidRPr="00825B20">
        <w:t>, 1585 (2023).</w:t>
      </w:r>
    </w:p>
    <w:sectPr w:rsidR="001042AE" w:rsidRPr="00825B20" w:rsidSect="00203DE4">
      <w:type w:val="continuous"/>
      <w:pgSz w:w="8391" w:h="11906" w:code="11"/>
      <w:pgMar w:top="568" w:right="594" w:bottom="72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298"/>
    <w:multiLevelType w:val="hybridMultilevel"/>
    <w:tmpl w:val="5554E364"/>
    <w:lvl w:ilvl="0" w:tplc="F5DA41A6">
      <w:start w:val="1"/>
      <w:numFmt w:val="decimal"/>
      <w:pStyle w:val="a"/>
      <w:lvlText w:val="[%1]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0A94"/>
    <w:rsid w:val="001042AE"/>
    <w:rsid w:val="00203DE4"/>
    <w:rsid w:val="00270A94"/>
    <w:rsid w:val="005267D9"/>
    <w:rsid w:val="00603E6C"/>
    <w:rsid w:val="006A7635"/>
    <w:rsid w:val="006B7BF4"/>
    <w:rsid w:val="006E5187"/>
    <w:rsid w:val="00825B20"/>
    <w:rsid w:val="009A014C"/>
    <w:rsid w:val="00B2030F"/>
    <w:rsid w:val="00B65DD5"/>
    <w:rsid w:val="00C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8051"/>
  <w15:docId w15:val="{44F58EEF-CCA1-4F91-9A4C-7A234673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pPr>
      <w:ind w:left="955"/>
    </w:pPr>
    <w:rPr>
      <w:rFonts w:ascii="Garamond" w:eastAsia="Garamond" w:hAnsi="Garamond"/>
      <w:sz w:val="20"/>
      <w:szCs w:val="20"/>
    </w:rPr>
  </w:style>
  <w:style w:type="paragraph" w:styleId="a6">
    <w:name w:val="List Paragraph"/>
    <w:basedOn w:val="a0"/>
    <w:uiPriority w:val="1"/>
  </w:style>
  <w:style w:type="paragraph" w:customStyle="1" w:styleId="TableParagraph">
    <w:name w:val="Table Paragraph"/>
    <w:basedOn w:val="a0"/>
    <w:uiPriority w:val="1"/>
  </w:style>
  <w:style w:type="paragraph" w:styleId="a7">
    <w:name w:val="Title"/>
    <w:basedOn w:val="a0"/>
    <w:next w:val="a0"/>
    <w:link w:val="a8"/>
    <w:uiPriority w:val="10"/>
    <w:rsid w:val="005267D9"/>
    <w:pPr>
      <w:contextualSpacing/>
    </w:pPr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a8">
    <w:name w:val="Заголовок Знак"/>
    <w:basedOn w:val="a1"/>
    <w:link w:val="a7"/>
    <w:uiPriority w:val="10"/>
    <w:rsid w:val="005267D9"/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styleId="a9">
    <w:name w:val="Placeholder Text"/>
    <w:basedOn w:val="a1"/>
    <w:uiPriority w:val="99"/>
    <w:semiHidden/>
    <w:rsid w:val="00603E6C"/>
    <w:rPr>
      <w:color w:val="808080"/>
    </w:rPr>
  </w:style>
  <w:style w:type="character" w:styleId="aa">
    <w:name w:val="Hyperlink"/>
    <w:basedOn w:val="a1"/>
    <w:uiPriority w:val="99"/>
    <w:unhideWhenUsed/>
    <w:rsid w:val="00203DE4"/>
    <w:rPr>
      <w:color w:val="0000FF" w:themeColor="hyperlink"/>
      <w:u w:val="single"/>
    </w:rPr>
  </w:style>
  <w:style w:type="paragraph" w:customStyle="1" w:styleId="ab">
    <w:name w:val="Название"/>
    <w:basedOn w:val="a7"/>
    <w:link w:val="ac"/>
    <w:uiPriority w:val="1"/>
    <w:qFormat/>
    <w:rsid w:val="006A7635"/>
    <w:pPr>
      <w:spacing w:line="276" w:lineRule="auto"/>
    </w:pPr>
    <w:rPr>
      <w:kern w:val="0"/>
      <w:lang w:val="ru-RU"/>
    </w:rPr>
  </w:style>
  <w:style w:type="paragraph" w:customStyle="1" w:styleId="ad">
    <w:name w:val="Автор"/>
    <w:basedOn w:val="a4"/>
    <w:link w:val="ae"/>
    <w:uiPriority w:val="1"/>
    <w:qFormat/>
    <w:rsid w:val="001042AE"/>
    <w:pPr>
      <w:spacing w:before="120" w:line="276" w:lineRule="auto"/>
      <w:ind w:left="425" w:right="-11"/>
    </w:pPr>
    <w:rPr>
      <w:rFonts w:ascii="Times New Roman" w:hAnsi="Times New Roman" w:cs="Times New Roman"/>
      <w:lang w:val="ru-RU"/>
    </w:rPr>
  </w:style>
  <w:style w:type="character" w:customStyle="1" w:styleId="ac">
    <w:name w:val="Название Знак"/>
    <w:basedOn w:val="a8"/>
    <w:link w:val="ab"/>
    <w:uiPriority w:val="1"/>
    <w:rsid w:val="006A7635"/>
    <w:rPr>
      <w:rFonts w:ascii="Times New Roman" w:eastAsiaTheme="majorEastAsia" w:hAnsi="Times New Roman" w:cstheme="majorBidi"/>
      <w:b/>
      <w:kern w:val="28"/>
      <w:sz w:val="28"/>
      <w:szCs w:val="56"/>
      <w:lang w:val="ru-RU"/>
    </w:rPr>
  </w:style>
  <w:style w:type="paragraph" w:customStyle="1" w:styleId="af">
    <w:name w:val="Аффиляция"/>
    <w:basedOn w:val="a4"/>
    <w:link w:val="af0"/>
    <w:uiPriority w:val="1"/>
    <w:qFormat/>
    <w:rsid w:val="001042AE"/>
    <w:pPr>
      <w:spacing w:before="10" w:after="360" w:line="276" w:lineRule="auto"/>
      <w:ind w:left="0" w:right="1089"/>
    </w:pPr>
    <w:rPr>
      <w:rFonts w:ascii="Times New Roman" w:hAnsi="Times New Roman" w:cs="Times New Roman"/>
      <w:sz w:val="18"/>
      <w:szCs w:val="18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42AE"/>
    <w:rPr>
      <w:rFonts w:ascii="Garamond" w:eastAsia="Garamond" w:hAnsi="Garamond"/>
      <w:sz w:val="20"/>
      <w:szCs w:val="20"/>
    </w:rPr>
  </w:style>
  <w:style w:type="character" w:customStyle="1" w:styleId="ae">
    <w:name w:val="Автор Знак"/>
    <w:basedOn w:val="a5"/>
    <w:link w:val="ad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1">
    <w:name w:val="Первый абзац"/>
    <w:basedOn w:val="a4"/>
    <w:link w:val="af2"/>
    <w:uiPriority w:val="1"/>
    <w:rsid w:val="001042AE"/>
    <w:pPr>
      <w:spacing w:before="360" w:line="276" w:lineRule="auto"/>
      <w:ind w:left="0" w:right="-11" w:firstLine="301"/>
      <w:jc w:val="both"/>
    </w:pPr>
    <w:rPr>
      <w:rFonts w:ascii="Times New Roman" w:hAnsi="Times New Roman" w:cs="Times New Roman"/>
      <w:lang w:val="ru-RU"/>
    </w:rPr>
  </w:style>
  <w:style w:type="character" w:customStyle="1" w:styleId="af0">
    <w:name w:val="Аффиляция Знак"/>
    <w:basedOn w:val="a5"/>
    <w:link w:val="af"/>
    <w:uiPriority w:val="1"/>
    <w:rsid w:val="001042AE"/>
    <w:rPr>
      <w:rFonts w:ascii="Times New Roman" w:eastAsia="Garamond" w:hAnsi="Times New Roman" w:cs="Times New Roman"/>
      <w:sz w:val="18"/>
      <w:szCs w:val="18"/>
      <w:lang w:val="ru-RU"/>
    </w:rPr>
  </w:style>
  <w:style w:type="paragraph" w:customStyle="1" w:styleId="af3">
    <w:name w:val="Текст тезисов"/>
    <w:basedOn w:val="a4"/>
    <w:link w:val="af4"/>
    <w:uiPriority w:val="1"/>
    <w:qFormat/>
    <w:rsid w:val="001042AE"/>
    <w:pPr>
      <w:spacing w:before="120" w:line="276" w:lineRule="auto"/>
      <w:ind w:left="0" w:right="-11" w:firstLine="301"/>
      <w:jc w:val="both"/>
    </w:pPr>
    <w:rPr>
      <w:rFonts w:ascii="Times New Roman" w:hAnsi="Times New Roman" w:cs="Times New Roman"/>
      <w:lang w:val="ru-RU"/>
    </w:rPr>
  </w:style>
  <w:style w:type="character" w:customStyle="1" w:styleId="af2">
    <w:name w:val="Первый абзац Знак"/>
    <w:basedOn w:val="a5"/>
    <w:link w:val="af1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5">
    <w:name w:val="Рисунок"/>
    <w:basedOn w:val="a4"/>
    <w:link w:val="af6"/>
    <w:uiPriority w:val="1"/>
    <w:qFormat/>
    <w:rsid w:val="001042AE"/>
    <w:pPr>
      <w:spacing w:before="3" w:line="276" w:lineRule="auto"/>
      <w:ind w:left="0" w:right="-11" w:firstLine="298"/>
      <w:jc w:val="center"/>
    </w:pPr>
    <w:rPr>
      <w:rFonts w:ascii="Times New Roman" w:hAnsi="Times New Roman" w:cs="Times New Roman"/>
      <w:noProof/>
      <w:lang w:val="ru-RU" w:eastAsia="ru-RU"/>
    </w:rPr>
  </w:style>
  <w:style w:type="character" w:customStyle="1" w:styleId="af4">
    <w:name w:val="Текст тезисов Знак"/>
    <w:basedOn w:val="a5"/>
    <w:link w:val="af3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7">
    <w:name w:val="Подпись к рисунку"/>
    <w:basedOn w:val="a4"/>
    <w:link w:val="af8"/>
    <w:uiPriority w:val="1"/>
    <w:qFormat/>
    <w:rsid w:val="001042AE"/>
    <w:pPr>
      <w:spacing w:before="3" w:line="276" w:lineRule="auto"/>
      <w:ind w:left="426" w:right="567" w:firstLine="298"/>
      <w:jc w:val="center"/>
    </w:pPr>
    <w:rPr>
      <w:rFonts w:ascii="Times New Roman" w:hAnsi="Times New Roman" w:cs="Times New Roman"/>
      <w:sz w:val="18"/>
      <w:szCs w:val="18"/>
      <w:lang w:val="ru-RU"/>
    </w:rPr>
  </w:style>
  <w:style w:type="character" w:customStyle="1" w:styleId="af6">
    <w:name w:val="Рисунок Знак"/>
    <w:basedOn w:val="a5"/>
    <w:link w:val="af5"/>
    <w:uiPriority w:val="1"/>
    <w:rsid w:val="001042AE"/>
    <w:rPr>
      <w:rFonts w:ascii="Times New Roman" w:eastAsia="Garamond" w:hAnsi="Times New Roman" w:cs="Times New Roman"/>
      <w:noProof/>
      <w:sz w:val="20"/>
      <w:szCs w:val="20"/>
      <w:lang w:val="ru-RU" w:eastAsia="ru-RU"/>
    </w:rPr>
  </w:style>
  <w:style w:type="paragraph" w:customStyle="1" w:styleId="af9">
    <w:name w:val="Литература"/>
    <w:basedOn w:val="a4"/>
    <w:link w:val="afa"/>
    <w:uiPriority w:val="1"/>
    <w:qFormat/>
    <w:rsid w:val="00B65DD5"/>
    <w:pPr>
      <w:spacing w:before="120" w:line="276" w:lineRule="auto"/>
      <w:ind w:left="0"/>
      <w:jc w:val="both"/>
    </w:pPr>
    <w:rPr>
      <w:rFonts w:ascii="Arial" w:hAnsi="Arial" w:cs="Arial"/>
      <w:b/>
      <w:lang w:val="ru-RU"/>
    </w:rPr>
  </w:style>
  <w:style w:type="character" w:customStyle="1" w:styleId="af8">
    <w:name w:val="Подпись к рисунку Знак"/>
    <w:basedOn w:val="a5"/>
    <w:link w:val="af7"/>
    <w:uiPriority w:val="1"/>
    <w:rsid w:val="001042AE"/>
    <w:rPr>
      <w:rFonts w:ascii="Times New Roman" w:eastAsia="Garamond" w:hAnsi="Times New Roman" w:cs="Times New Roman"/>
      <w:sz w:val="18"/>
      <w:szCs w:val="18"/>
      <w:lang w:val="ru-RU"/>
    </w:rPr>
  </w:style>
  <w:style w:type="paragraph" w:customStyle="1" w:styleId="a">
    <w:name w:val="Пункт литературы"/>
    <w:basedOn w:val="af3"/>
    <w:link w:val="afb"/>
    <w:uiPriority w:val="1"/>
    <w:qFormat/>
    <w:rsid w:val="00B65DD5"/>
    <w:pPr>
      <w:numPr>
        <w:numId w:val="1"/>
      </w:numPr>
      <w:ind w:left="426" w:hanging="426"/>
    </w:pPr>
    <w:rPr>
      <w:sz w:val="18"/>
      <w:szCs w:val="18"/>
      <w:lang w:val="en-US"/>
    </w:rPr>
  </w:style>
  <w:style w:type="character" w:customStyle="1" w:styleId="afa">
    <w:name w:val="Литература Знак"/>
    <w:basedOn w:val="a5"/>
    <w:link w:val="af9"/>
    <w:uiPriority w:val="1"/>
    <w:rsid w:val="00B65DD5"/>
    <w:rPr>
      <w:rFonts w:ascii="Arial" w:eastAsia="Garamond" w:hAnsi="Arial" w:cs="Arial"/>
      <w:b/>
      <w:sz w:val="20"/>
      <w:szCs w:val="20"/>
      <w:lang w:val="ru-RU"/>
    </w:rPr>
  </w:style>
  <w:style w:type="character" w:customStyle="1" w:styleId="afb">
    <w:name w:val="Пункт литературы Знак"/>
    <w:basedOn w:val="af4"/>
    <w:link w:val="a"/>
    <w:uiPriority w:val="1"/>
    <w:rsid w:val="00B65DD5"/>
    <w:rPr>
      <w:rFonts w:ascii="Times New Roman" w:eastAsia="Garamond" w:hAnsi="Times New Roman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7383-1C9A-4B97-A1DC-6214B4DD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Дементьев</dc:creator>
  <cp:lastModifiedBy>Dementev</cp:lastModifiedBy>
  <cp:revision>2</cp:revision>
  <dcterms:created xsi:type="dcterms:W3CDTF">2025-10-19T17:58:00Z</dcterms:created>
  <dcterms:modified xsi:type="dcterms:W3CDTF">2025-10-19T17:58:00Z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2024-11-07T00:00:00Z</vt:filetime>
  </property>
</Properties>
</file>