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94" w:rsidRPr="00203DE4" w:rsidRDefault="006E5187" w:rsidP="006A7635">
      <w:pPr>
        <w:pStyle w:val="ab"/>
      </w:pPr>
      <w:r w:rsidRPr="00203DE4">
        <w:t>Структурные и люминесцентные свойства кубической керамики ZrO</w:t>
      </w:r>
      <w:r w:rsidRPr="00203DE4">
        <w:rPr>
          <w:vertAlign w:val="subscript"/>
        </w:rPr>
        <w:t>2</w:t>
      </w:r>
      <w:r w:rsidRPr="00203DE4">
        <w:t>-HfO</w:t>
      </w:r>
      <w:r w:rsidRPr="00203DE4">
        <w:rPr>
          <w:vertAlign w:val="subscript"/>
        </w:rPr>
        <w:t>2</w:t>
      </w:r>
      <w:r w:rsidRPr="00203DE4">
        <w:t>-Y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>-Eu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 xml:space="preserve">, выращенной методом </w:t>
      </w:r>
      <w:proofErr w:type="spellStart"/>
      <w:r w:rsidRPr="00203DE4">
        <w:t>соосаждения</w:t>
      </w:r>
      <w:proofErr w:type="spellEnd"/>
    </w:p>
    <w:p w:rsidR="005267D9" w:rsidRPr="00203DE4" w:rsidRDefault="006E5187" w:rsidP="001042AE">
      <w:pPr>
        <w:pStyle w:val="ad"/>
      </w:pPr>
      <w:r w:rsidRPr="00203DE4">
        <w:t>П. А. Дементьев, Е. В. Дементьева, А. А. Шакирова, К. Н. Орехова, М.</w:t>
      </w:r>
      <w:r w:rsidR="00B2030F" w:rsidRPr="00203DE4">
        <w:t> </w:t>
      </w:r>
      <w:r w:rsidRPr="00203DE4">
        <w:t>В.</w:t>
      </w:r>
      <w:r w:rsidR="00B2030F" w:rsidRPr="00203DE4">
        <w:t> </w:t>
      </w:r>
      <w:proofErr w:type="spellStart"/>
      <w:r w:rsidRPr="00203DE4">
        <w:t>Заморянская</w:t>
      </w:r>
      <w:proofErr w:type="spellEnd"/>
    </w:p>
    <w:p w:rsidR="00270A94" w:rsidRPr="00203DE4" w:rsidRDefault="006E5187" w:rsidP="001042AE">
      <w:pPr>
        <w:pStyle w:val="af"/>
      </w:pPr>
      <w:r w:rsidRPr="00203DE4">
        <w:t>ФТИ им. А. Ф. Иоффе, Санкт-Петербург, Россия</w:t>
      </w:r>
    </w:p>
    <w:p w:rsidR="00270A94" w:rsidRPr="00203DE4" w:rsidRDefault="006E5187" w:rsidP="001042AE">
      <w:pPr>
        <w:pStyle w:val="af3"/>
      </w:pPr>
      <w:r w:rsidRPr="00203DE4">
        <w:t>В последнее время важными проблемами дозиметрии становятся задачи, связанные с утилизацией и иммобилизацией ядерных отходов, анализом последствий масштабных радиационных аварий и экологических катастроф. Широкое распространение для указанных задач получили термолюминесцентные дозиметры. Одной из важных проблем в настоящее время является разработка радиационно-стойких термолюминесцентных дозиметров, позволяющих измерять высокие дозы ионизирующего излучения. ZrO</w:t>
      </w:r>
      <w:r w:rsidRPr="00203DE4">
        <w:rPr>
          <w:vertAlign w:val="subscript"/>
        </w:rPr>
        <w:t>2</w:t>
      </w:r>
      <w:r w:rsidRPr="00203DE4">
        <w:t>-Y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>-Eu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 xml:space="preserve"> широко исследуется в качестве материала для термолюминесцентной дозиметрии, однако данный материал прозрачен для нейтронов</w:t>
      </w:r>
      <w:r w:rsidR="001042AE">
        <w:t xml:space="preserve"> </w:t>
      </w:r>
      <w:r w:rsidR="001042AE" w:rsidRPr="001042AE">
        <w:t>[1, 2]</w:t>
      </w:r>
      <w:r w:rsidRPr="00203DE4">
        <w:t>. В свою очередь гафний хорошо поглощает нейтроны и его добавление позволяет расширить применимость данного материала в дозиметрии. Соответственно, одним из возможных материалов для создания радиационно- и химически стойких дозиметров является керамика ZrO</w:t>
      </w:r>
      <w:r w:rsidRPr="00203DE4">
        <w:rPr>
          <w:vertAlign w:val="subscript"/>
        </w:rPr>
        <w:t>2</w:t>
      </w:r>
      <w:r w:rsidRPr="00203DE4">
        <w:t>-HfO</w:t>
      </w:r>
      <w:r w:rsidRPr="00203DE4">
        <w:rPr>
          <w:vertAlign w:val="subscript"/>
        </w:rPr>
        <w:t>2</w:t>
      </w:r>
      <w:r w:rsidRPr="00203DE4">
        <w:t>-Y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>-Eu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>.</w:t>
      </w:r>
    </w:p>
    <w:p w:rsidR="00270A94" w:rsidRPr="00203DE4" w:rsidRDefault="006E5187" w:rsidP="001042AE">
      <w:pPr>
        <w:pStyle w:val="af3"/>
      </w:pPr>
      <w:r w:rsidRPr="00203DE4">
        <w:t>В данной работе исследованы керамики ZrO</w:t>
      </w:r>
      <w:r w:rsidRPr="00203DE4">
        <w:rPr>
          <w:vertAlign w:val="subscript"/>
        </w:rPr>
        <w:t>2</w:t>
      </w:r>
      <w:r w:rsidRPr="00203DE4">
        <w:t>-HfO</w:t>
      </w:r>
      <w:r w:rsidRPr="00203DE4">
        <w:rPr>
          <w:vertAlign w:val="subscript"/>
        </w:rPr>
        <w:t>2</w:t>
      </w:r>
      <w:r w:rsidRPr="00203DE4">
        <w:t>-Y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>-Eu</w:t>
      </w:r>
      <w:r w:rsidRPr="00203DE4">
        <w:rPr>
          <w:vertAlign w:val="subscript"/>
        </w:rPr>
        <w:t>2</w:t>
      </w:r>
      <w:r w:rsidRPr="00203DE4">
        <w:t>O</w:t>
      </w:r>
      <w:r w:rsidRPr="00203DE4">
        <w:rPr>
          <w:vertAlign w:val="subscript"/>
        </w:rPr>
        <w:t>3</w:t>
      </w:r>
      <w:r w:rsidRPr="00203DE4">
        <w:t xml:space="preserve"> с различным соотношением </w:t>
      </w:r>
      <w:r w:rsidR="00825B20" w:rsidRPr="00825B20">
        <w:rPr>
          <w:position w:val="-8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72.35pt;height:12.65pt;mso-position-horizontal:absolute" o:ole="">
            <v:imagedata r:id="rId6" o:title="" croptop="9781f" cropbottom="9781f"/>
          </v:shape>
          <o:OLEObject Type="Embed" ProgID="Equation.DSMT4" ShapeID="_x0000_i1072" DrawAspect="Content" ObjectID="_1792527230" r:id="rId7"/>
        </w:object>
      </w:r>
      <w:r w:rsidRPr="00203DE4">
        <w:t xml:space="preserve"> и изучено влияние содержания гафния на их структуру, оптические и люминесцентные свойства. Было определено, что полученные керамики состоят, в основном из зерен размером 4-6 мкм, с областями включений более мелких </w:t>
      </w:r>
      <w:r w:rsidR="00B2030F" w:rsidRPr="00203DE4">
        <w:t>–</w:t>
      </w:r>
      <w:r w:rsidRPr="00203DE4">
        <w:t xml:space="preserve"> 100-300 </w:t>
      </w:r>
      <w:proofErr w:type="spellStart"/>
      <w:r w:rsidRPr="00203DE4">
        <w:t>нм</w:t>
      </w:r>
      <w:proofErr w:type="spellEnd"/>
      <w:r w:rsidRPr="00203DE4">
        <w:t xml:space="preserve"> </w:t>
      </w:r>
      <w:r w:rsidR="00B2030F" w:rsidRPr="00203DE4">
        <w:t>–</w:t>
      </w:r>
      <w:r w:rsidRPr="00203DE4">
        <w:t xml:space="preserve"> зерен. Было показано также, что дополнительный отжиг керамики в атмосфере </w:t>
      </w:r>
      <w:proofErr w:type="spellStart"/>
      <w:r w:rsidRPr="00203DE4">
        <w:t>Ar</w:t>
      </w:r>
      <w:proofErr w:type="spellEnd"/>
      <w:r w:rsidRPr="00203DE4">
        <w:t xml:space="preserve"> приводит к изменению катодолюминесценции как раз в области мелких зерен.</w:t>
      </w:r>
    </w:p>
    <w:p w:rsidR="006A7635" w:rsidRDefault="006E5187" w:rsidP="001042AE">
      <w:pPr>
        <w:pStyle w:val="af3"/>
      </w:pPr>
      <w:r w:rsidRPr="00203DE4">
        <w:t xml:space="preserve">Продемонстрировано влияние состава на оптическую ширину запрещенной зоны. Показано, что переход зона-зона </w:t>
      </w:r>
      <w:r w:rsidR="00B2030F" w:rsidRPr="00203DE4">
        <w:t>–</w:t>
      </w:r>
      <w:r w:rsidRPr="00203DE4">
        <w:t xml:space="preserve"> непрямой и оптическая ширина запрещенной зоны зависит от соотношения</w:t>
      </w:r>
      <w:r w:rsidR="00B2030F" w:rsidRPr="00203DE4">
        <w:t xml:space="preserve"> </w:t>
      </w:r>
      <w:r w:rsidR="001042AE" w:rsidRPr="001042AE">
        <w:rPr>
          <w:position w:val="-7"/>
        </w:rPr>
        <w:object w:dxaOrig="1820" w:dyaOrig="380">
          <v:shape id="_x0000_i1056" type="#_x0000_t75" style="width:85.65pt;height:12.35pt;mso-position-horizontal:absolute" o:ole="">
            <v:imagedata r:id="rId8" o:title="" croptop="9781f" cropbottom="9781f"/>
          </v:shape>
          <o:OLEObject Type="Embed" ProgID="Equation.DSMT4" ShapeID="_x0000_i1056" DrawAspect="Content" ObjectID="_1792527231" r:id="rId9"/>
        </w:object>
      </w:r>
      <w:r w:rsidRPr="00203DE4">
        <w:t xml:space="preserve"> следующим образом: </w:t>
      </w:r>
      <w:r w:rsidR="001042AE" w:rsidRPr="001042AE">
        <w:rPr>
          <w:position w:val="-9"/>
        </w:rPr>
        <w:object w:dxaOrig="2100" w:dyaOrig="340">
          <v:shape id="_x0000_i1097" type="#_x0000_t75" style="width:105pt;height:12.35pt;mso-position-vertical:absolute" o:ole="">
            <v:imagedata r:id="rId10" o:title="" croptop="10941f" cropbottom="5470f"/>
          </v:shape>
          <o:OLEObject Type="Embed" ProgID="Equation.DSMT4" ShapeID="_x0000_i1097" DrawAspect="Content" ObjectID="_1792527232" r:id="rId11"/>
        </w:object>
      </w:r>
      <w:r w:rsidR="006A7635" w:rsidRPr="006A7635">
        <w:t xml:space="preserve"> (</w:t>
      </w:r>
      <w:r w:rsidR="006A7635">
        <w:t>см. рис. 1)</w:t>
      </w:r>
      <w:r w:rsidRPr="00203DE4">
        <w:t xml:space="preserve">. Полученные спектры КЛ показали, что увеличение содержания гафния не влияет на положение и количество наблюдаемых полос в спектре люминесценции, а также на особенности их возбуждения. В проведенной работе было показано, что среди синтезированных образцов образцы с содержанием гафния </w:t>
      </w:r>
      <w:r w:rsidR="00203DE4" w:rsidRPr="00203DE4">
        <w:rPr>
          <w:i/>
          <w:position w:val="-6"/>
        </w:rPr>
        <w:object w:dxaOrig="639" w:dyaOrig="240">
          <v:shape id="_x0000_i1062" type="#_x0000_t75" style="width:32pt;height:12pt" o:ole="">
            <v:imagedata r:id="rId12" o:title=""/>
          </v:shape>
          <o:OLEObject Type="Embed" ProgID="Equation.DSMT4" ShapeID="_x0000_i1062" DrawAspect="Content" ObjectID="_1792527233" r:id="rId13"/>
        </w:object>
      </w:r>
      <w:r w:rsidRPr="00203DE4">
        <w:t xml:space="preserve"> и 0</w:t>
      </w:r>
      <w:r w:rsidR="006A7635">
        <w:t>.</w:t>
      </w:r>
      <w:r w:rsidRPr="00203DE4">
        <w:t xml:space="preserve">77 обладают термолюминесцентными свойствами, подходящими для </w:t>
      </w:r>
      <w:proofErr w:type="spellStart"/>
      <w:r w:rsidRPr="00203DE4">
        <w:t>термодозиметрии</w:t>
      </w:r>
      <w:proofErr w:type="spellEnd"/>
      <w:r w:rsidRPr="00203DE4">
        <w:t xml:space="preserve">. </w:t>
      </w:r>
      <w:r w:rsidRPr="00203DE4">
        <w:lastRenderedPageBreak/>
        <w:t>Термолюминесцентные кривые данных образцов при температуре выше 300 К имеют один пик и характерное время высвечивания ловушек составляет 180 часов. Наибольшим квантовым выходом при возбуждении высоких</w:t>
      </w:r>
      <w:r w:rsidR="00203DE4" w:rsidRPr="00203DE4">
        <w:t xml:space="preserve"> </w:t>
      </w:r>
      <w:r w:rsidRPr="00203DE4">
        <w:t xml:space="preserve">переходов обладают образцы c </w:t>
      </w:r>
      <w:r w:rsidR="006A7635" w:rsidRPr="006A7635">
        <w:rPr>
          <w:position w:val="-6"/>
        </w:rPr>
        <w:object w:dxaOrig="1040" w:dyaOrig="240">
          <v:shape id="_x0000_i1074" type="#_x0000_t75" style="width:52pt;height:12pt" o:ole="">
            <v:imagedata r:id="rId14" o:title=""/>
          </v:shape>
          <o:OLEObject Type="Embed" ProgID="Equation.DSMT4" ShapeID="_x0000_i1074" DrawAspect="Content" ObjectID="_1792527234" r:id="rId15"/>
        </w:object>
      </w:r>
      <w:r w:rsidRPr="00203DE4">
        <w:t>.</w:t>
      </w:r>
    </w:p>
    <w:p w:rsidR="00270A94" w:rsidRDefault="006A7635" w:rsidP="001042AE">
      <w:pPr>
        <w:pStyle w:val="af5"/>
      </w:pPr>
      <w:r>
        <w:drawing>
          <wp:inline distT="0" distB="0" distL="0" distR="0" wp14:anchorId="50FABA3D" wp14:editId="3DC79159">
            <wp:extent cx="2104262" cy="177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LCOM-D-24-10432_R1-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71" cy="17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635" w:rsidRPr="006A7635" w:rsidRDefault="006A7635" w:rsidP="001042AE">
      <w:pPr>
        <w:pStyle w:val="af7"/>
      </w:pPr>
      <w:r w:rsidRPr="006A7635">
        <w:rPr>
          <w:b/>
        </w:rPr>
        <w:t>Рис. 1.</w:t>
      </w:r>
      <w:r w:rsidRPr="006A7635">
        <w:t xml:space="preserve"> Зависимость </w:t>
      </w:r>
      <w:r w:rsidRPr="006A7635">
        <w:t>оптическ</w:t>
      </w:r>
      <w:r w:rsidRPr="006A7635">
        <w:t>ой</w:t>
      </w:r>
      <w:r w:rsidRPr="006A7635">
        <w:t xml:space="preserve"> ширин</w:t>
      </w:r>
      <w:r w:rsidRPr="006A7635">
        <w:t>ы</w:t>
      </w:r>
      <w:r w:rsidRPr="006A7635">
        <w:t xml:space="preserve"> запрещенной зоны керамики ZrO</w:t>
      </w:r>
      <w:r w:rsidRPr="006A7635">
        <w:rPr>
          <w:vertAlign w:val="subscript"/>
        </w:rPr>
        <w:t>2</w:t>
      </w:r>
      <w:r>
        <w:noBreakHyphen/>
      </w:r>
      <w:r w:rsidRPr="006A7635">
        <w:t>HfO</w:t>
      </w:r>
      <w:r w:rsidRPr="006A7635">
        <w:rPr>
          <w:vertAlign w:val="subscript"/>
        </w:rPr>
        <w:t>2</w:t>
      </w:r>
      <w:r w:rsidRPr="006A7635">
        <w:t>-Y</w:t>
      </w:r>
      <w:r w:rsidRPr="006A7635">
        <w:rPr>
          <w:vertAlign w:val="subscript"/>
        </w:rPr>
        <w:t>2</w:t>
      </w:r>
      <w:r w:rsidRPr="006A7635">
        <w:t>O</w:t>
      </w:r>
      <w:r w:rsidRPr="006A7635">
        <w:rPr>
          <w:vertAlign w:val="subscript"/>
        </w:rPr>
        <w:t>3</w:t>
      </w:r>
      <w:r w:rsidRPr="006A7635">
        <w:t>-Eu</w:t>
      </w:r>
      <w:r w:rsidRPr="006A7635">
        <w:rPr>
          <w:vertAlign w:val="subscript"/>
        </w:rPr>
        <w:t>2</w:t>
      </w:r>
      <w:r w:rsidRPr="006A7635">
        <w:t>O</w:t>
      </w:r>
      <w:r w:rsidRPr="006A7635">
        <w:rPr>
          <w:vertAlign w:val="subscript"/>
        </w:rPr>
        <w:t>3</w:t>
      </w:r>
      <w:r w:rsidRPr="006A7635">
        <w:t xml:space="preserve"> от соотношения </w:t>
      </w:r>
      <w:r w:rsidR="009A014C" w:rsidRPr="009A014C">
        <w:rPr>
          <w:position w:val="-7"/>
        </w:rPr>
        <w:object w:dxaOrig="1620" w:dyaOrig="360">
          <v:shape id="_x0000_i1086" type="#_x0000_t75" style="width:82.65pt;height:12.35pt" o:ole="">
            <v:imagedata r:id="rId17" o:title="" croptop="10321f" cropbottom="10321f"/>
          </v:shape>
          <o:OLEObject Type="Embed" ProgID="Equation.DSMT4" ShapeID="_x0000_i1086" DrawAspect="Content" ObjectID="_1792527235" r:id="rId18"/>
        </w:object>
      </w:r>
      <w:r w:rsidRPr="006A7635">
        <w:t>.</w:t>
      </w:r>
    </w:p>
    <w:p w:rsidR="00270A94" w:rsidRPr="00203DE4" w:rsidRDefault="006E5187" w:rsidP="001042AE">
      <w:pPr>
        <w:pStyle w:val="af3"/>
      </w:pPr>
      <w:r w:rsidRPr="00203DE4">
        <w:t>Исследование выполнено за счет гранта Российского научного фонда (проект № 23-</w:t>
      </w:r>
      <w:r w:rsidR="00203DE4" w:rsidRPr="00203DE4">
        <w:t>24</w:t>
      </w:r>
      <w:r w:rsidRPr="00203DE4">
        <w:t>-0</w:t>
      </w:r>
      <w:r w:rsidR="00203DE4" w:rsidRPr="00203DE4">
        <w:t>1245</w:t>
      </w:r>
      <w:r w:rsidRPr="00203DE4">
        <w:t>, https://rscf.ru/project/23-2</w:t>
      </w:r>
      <w:r w:rsidR="00203DE4" w:rsidRPr="00203DE4">
        <w:t>4</w:t>
      </w:r>
      <w:r w:rsidRPr="00203DE4">
        <w:t>-0</w:t>
      </w:r>
      <w:r w:rsidR="00203DE4" w:rsidRPr="00203DE4">
        <w:t>1245</w:t>
      </w:r>
      <w:r w:rsidRPr="00203DE4">
        <w:t>).</w:t>
      </w:r>
    </w:p>
    <w:p w:rsidR="00203DE4" w:rsidRPr="00825B20" w:rsidRDefault="001042AE" w:rsidP="00B65DD5">
      <w:pPr>
        <w:pStyle w:val="af9"/>
      </w:pPr>
      <w:r w:rsidRPr="00825B20">
        <w:t>Литература</w:t>
      </w:r>
    </w:p>
    <w:p w:rsidR="001042AE" w:rsidRPr="00825B20" w:rsidRDefault="001042AE" w:rsidP="00B65DD5">
      <w:pPr>
        <w:pStyle w:val="a"/>
        <w:rPr>
          <w:lang w:val="ru-RU"/>
        </w:rPr>
      </w:pPr>
      <w:r w:rsidRPr="00825B20">
        <w:t xml:space="preserve">D. </w:t>
      </w:r>
      <w:proofErr w:type="spellStart"/>
      <w:r w:rsidRPr="00825B20">
        <w:t>Nakauchi</w:t>
      </w:r>
      <w:proofErr w:type="spellEnd"/>
      <w:r w:rsidRPr="00825B20">
        <w:t xml:space="preserve">, G. Okada, T. </w:t>
      </w:r>
      <w:proofErr w:type="spellStart"/>
      <w:r w:rsidRPr="00825B20">
        <w:t>Yanagida</w:t>
      </w:r>
      <w:proofErr w:type="spellEnd"/>
      <w:r w:rsidRPr="00825B20">
        <w:t xml:space="preserve">. </w:t>
      </w:r>
      <w:proofErr w:type="spellStart"/>
      <w:r w:rsidRPr="00825B20">
        <w:t>Scintillation</w:t>
      </w:r>
      <w:proofErr w:type="spellEnd"/>
      <w:r w:rsidRPr="00825B20">
        <w:t xml:space="preserve">, OSL </w:t>
      </w:r>
      <w:proofErr w:type="spellStart"/>
      <w:r w:rsidRPr="00825B20">
        <w:t>and</w:t>
      </w:r>
      <w:proofErr w:type="spellEnd"/>
      <w:r w:rsidRPr="00825B20">
        <w:t xml:space="preserve"> TSL </w:t>
      </w:r>
      <w:proofErr w:type="spellStart"/>
      <w:r w:rsidRPr="00825B20">
        <w:t>properties</w:t>
      </w:r>
      <w:proofErr w:type="spellEnd"/>
      <w:r w:rsidRPr="00825B20">
        <w:t xml:space="preserve"> </w:t>
      </w:r>
      <w:proofErr w:type="spellStart"/>
      <w:r w:rsidRPr="00825B20">
        <w:t>of</w:t>
      </w:r>
      <w:proofErr w:type="spellEnd"/>
      <w:r w:rsidRPr="00825B20">
        <w:t xml:space="preserve"> </w:t>
      </w:r>
      <w:proofErr w:type="spellStart"/>
      <w:r w:rsidRPr="00825B20">
        <w:t>yttria</w:t>
      </w:r>
      <w:proofErr w:type="spellEnd"/>
      <w:r w:rsidRPr="00825B20">
        <w:t xml:space="preserve"> </w:t>
      </w:r>
      <w:proofErr w:type="spellStart"/>
      <w:r w:rsidRPr="00825B20">
        <w:t>stabilized</w:t>
      </w:r>
      <w:proofErr w:type="spellEnd"/>
      <w:r w:rsidRPr="00825B20">
        <w:t xml:space="preserve"> </w:t>
      </w:r>
      <w:proofErr w:type="spellStart"/>
      <w:r w:rsidRPr="00825B20">
        <w:t>zirconia</w:t>
      </w:r>
      <w:proofErr w:type="spellEnd"/>
      <w:r w:rsidRPr="00825B20">
        <w:t xml:space="preserve"> </w:t>
      </w:r>
      <w:proofErr w:type="spellStart"/>
      <w:r w:rsidRPr="00825B20">
        <w:t>crystal</w:t>
      </w:r>
      <w:proofErr w:type="spellEnd"/>
      <w:r w:rsidRPr="00825B20">
        <w:t xml:space="preserve">. </w:t>
      </w:r>
      <w:r w:rsidRPr="00825B20">
        <w:rPr>
          <w:lang w:val="ru-RU"/>
        </w:rPr>
        <w:t xml:space="preserve">J. </w:t>
      </w:r>
      <w:proofErr w:type="spellStart"/>
      <w:r w:rsidRPr="00825B20">
        <w:rPr>
          <w:lang w:val="ru-RU"/>
        </w:rPr>
        <w:t>Lumin</w:t>
      </w:r>
      <w:proofErr w:type="spellEnd"/>
      <w:r w:rsidRPr="00825B20">
        <w:rPr>
          <w:lang w:val="ru-RU"/>
        </w:rPr>
        <w:t xml:space="preserve">. </w:t>
      </w:r>
      <w:r w:rsidRPr="00B65DD5">
        <w:rPr>
          <w:b/>
          <w:lang w:val="ru-RU"/>
        </w:rPr>
        <w:t>172</w:t>
      </w:r>
      <w:r w:rsidRPr="00825B20">
        <w:rPr>
          <w:lang w:val="ru-RU"/>
        </w:rPr>
        <w:t>, 61 (2016)</w:t>
      </w:r>
      <w:r w:rsidR="00825B20">
        <w:t>.</w:t>
      </w:r>
    </w:p>
    <w:p w:rsidR="001042AE" w:rsidRPr="00825B20" w:rsidRDefault="001042AE" w:rsidP="00B65DD5">
      <w:pPr>
        <w:pStyle w:val="a"/>
      </w:pPr>
      <w:r w:rsidRPr="00825B20">
        <w:t xml:space="preserve">S. </w:t>
      </w:r>
      <w:proofErr w:type="spellStart"/>
      <w:r w:rsidRPr="00825B20">
        <w:t>Nikiforov</w:t>
      </w:r>
      <w:proofErr w:type="spellEnd"/>
      <w:r w:rsidRPr="00825B20">
        <w:t xml:space="preserve">, A. </w:t>
      </w:r>
      <w:proofErr w:type="spellStart"/>
      <w:r w:rsidRPr="00825B20">
        <w:t>Dauletbekova</w:t>
      </w:r>
      <w:proofErr w:type="spellEnd"/>
      <w:r w:rsidRPr="00825B20">
        <w:t xml:space="preserve">, M. </w:t>
      </w:r>
      <w:proofErr w:type="spellStart"/>
      <w:r w:rsidRPr="00825B20">
        <w:t>Gerasimov</w:t>
      </w:r>
      <w:proofErr w:type="spellEnd"/>
      <w:r w:rsidRPr="00825B20">
        <w:t xml:space="preserve">, Y. </w:t>
      </w:r>
      <w:proofErr w:type="spellStart"/>
      <w:r w:rsidRPr="00825B20">
        <w:t>Kasatkina</w:t>
      </w:r>
      <w:proofErr w:type="spellEnd"/>
      <w:r w:rsidRPr="00825B20">
        <w:t xml:space="preserve">, O. </w:t>
      </w:r>
      <w:proofErr w:type="spellStart"/>
      <w:r w:rsidRPr="00825B20">
        <w:t>Denisova</w:t>
      </w:r>
      <w:proofErr w:type="spellEnd"/>
      <w:r w:rsidRPr="00825B20">
        <w:t xml:space="preserve">, V. </w:t>
      </w:r>
      <w:proofErr w:type="spellStart"/>
      <w:r w:rsidRPr="00825B20">
        <w:t>Lisitsyn</w:t>
      </w:r>
      <w:proofErr w:type="spellEnd"/>
      <w:r w:rsidRPr="00825B20">
        <w:t xml:space="preserve">, M. </w:t>
      </w:r>
      <w:proofErr w:type="spellStart"/>
      <w:r w:rsidRPr="00825B20">
        <w:t>Golkovski</w:t>
      </w:r>
      <w:proofErr w:type="spellEnd"/>
      <w:r w:rsidRPr="00825B20">
        <w:t xml:space="preserve">, A. </w:t>
      </w:r>
      <w:proofErr w:type="spellStart"/>
      <w:r w:rsidRPr="00825B20">
        <w:t>Akylbekova</w:t>
      </w:r>
      <w:proofErr w:type="spellEnd"/>
      <w:r w:rsidRPr="00825B20">
        <w:t xml:space="preserve">, A.-D. </w:t>
      </w:r>
      <w:proofErr w:type="spellStart"/>
      <w:r w:rsidRPr="00825B20">
        <w:t>Bazarbek</w:t>
      </w:r>
      <w:proofErr w:type="spellEnd"/>
      <w:r w:rsidRPr="00825B20">
        <w:t xml:space="preserve">, A. </w:t>
      </w:r>
      <w:proofErr w:type="spellStart"/>
      <w:r w:rsidRPr="00825B20">
        <w:t>Akilbekov</w:t>
      </w:r>
      <w:proofErr w:type="spellEnd"/>
      <w:r w:rsidRPr="00825B20">
        <w:t xml:space="preserve">, A. </w:t>
      </w:r>
      <w:proofErr w:type="spellStart"/>
      <w:r w:rsidRPr="00825B20">
        <w:t>Popov</w:t>
      </w:r>
      <w:proofErr w:type="spellEnd"/>
      <w:r w:rsidRPr="00825B20">
        <w:t xml:space="preserve">. </w:t>
      </w:r>
      <w:proofErr w:type="spellStart"/>
      <w:r w:rsidRPr="00825B20">
        <w:t>Thermoluminescent</w:t>
      </w:r>
      <w:proofErr w:type="spellEnd"/>
      <w:r w:rsidRPr="00825B20">
        <w:t xml:space="preserve"> and </w:t>
      </w:r>
      <w:proofErr w:type="spellStart"/>
      <w:r w:rsidRPr="00825B20">
        <w:t>dosimetric</w:t>
      </w:r>
      <w:proofErr w:type="spellEnd"/>
      <w:r w:rsidRPr="00825B20">
        <w:t xml:space="preserve"> properties of zirconium dioxide ceramics irradiated with high doses of pulsed electron beam. </w:t>
      </w:r>
      <w:proofErr w:type="spellStart"/>
      <w:r w:rsidRPr="00825B20">
        <w:t>Crystals</w:t>
      </w:r>
      <w:proofErr w:type="spellEnd"/>
      <w:r w:rsidRPr="00825B20">
        <w:t xml:space="preserve"> </w:t>
      </w:r>
      <w:r w:rsidRPr="00B65DD5">
        <w:rPr>
          <w:b/>
        </w:rPr>
        <w:t>13</w:t>
      </w:r>
      <w:r w:rsidRPr="00825B20">
        <w:t>, 1585 (2023).</w:t>
      </w:r>
    </w:p>
    <w:sectPr w:rsidR="001042AE" w:rsidRPr="00825B20" w:rsidSect="00203DE4">
      <w:type w:val="continuous"/>
      <w:pgSz w:w="8391" w:h="11906" w:code="11"/>
      <w:pgMar w:top="568" w:right="594" w:bottom="72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C4298"/>
    <w:multiLevelType w:val="hybridMultilevel"/>
    <w:tmpl w:val="5554E364"/>
    <w:lvl w:ilvl="0" w:tplc="F5DA41A6">
      <w:start w:val="1"/>
      <w:numFmt w:val="decimal"/>
      <w:pStyle w:val="a"/>
      <w:lvlText w:val="[%1]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0A94"/>
    <w:rsid w:val="001042AE"/>
    <w:rsid w:val="00203DE4"/>
    <w:rsid w:val="00270A94"/>
    <w:rsid w:val="005267D9"/>
    <w:rsid w:val="00603E6C"/>
    <w:rsid w:val="006A7635"/>
    <w:rsid w:val="006E5187"/>
    <w:rsid w:val="00825B20"/>
    <w:rsid w:val="009A014C"/>
    <w:rsid w:val="00B2030F"/>
    <w:rsid w:val="00B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A3AB"/>
  <w15:docId w15:val="{44F58EEF-CCA1-4F91-9A4C-7A234673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pPr>
      <w:ind w:left="955"/>
    </w:pPr>
    <w:rPr>
      <w:rFonts w:ascii="Garamond" w:eastAsia="Garamond" w:hAnsi="Garamond"/>
      <w:sz w:val="20"/>
      <w:szCs w:val="20"/>
    </w:rPr>
  </w:style>
  <w:style w:type="paragraph" w:styleId="a6">
    <w:name w:val="List Paragraph"/>
    <w:basedOn w:val="a0"/>
    <w:uiPriority w:val="1"/>
  </w:style>
  <w:style w:type="paragraph" w:customStyle="1" w:styleId="TableParagraph">
    <w:name w:val="Table Paragraph"/>
    <w:basedOn w:val="a0"/>
    <w:uiPriority w:val="1"/>
  </w:style>
  <w:style w:type="paragraph" w:styleId="a7">
    <w:name w:val="Title"/>
    <w:basedOn w:val="a0"/>
    <w:next w:val="a0"/>
    <w:link w:val="a8"/>
    <w:uiPriority w:val="10"/>
    <w:rsid w:val="005267D9"/>
    <w:pPr>
      <w:contextualSpacing/>
    </w:pPr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customStyle="1" w:styleId="a8">
    <w:name w:val="Заголовок Знак"/>
    <w:basedOn w:val="a1"/>
    <w:link w:val="a7"/>
    <w:uiPriority w:val="10"/>
    <w:rsid w:val="005267D9"/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styleId="a9">
    <w:name w:val="Placeholder Text"/>
    <w:basedOn w:val="a1"/>
    <w:uiPriority w:val="99"/>
    <w:semiHidden/>
    <w:rsid w:val="00603E6C"/>
    <w:rPr>
      <w:color w:val="808080"/>
    </w:rPr>
  </w:style>
  <w:style w:type="character" w:styleId="aa">
    <w:name w:val="Hyperlink"/>
    <w:basedOn w:val="a1"/>
    <w:uiPriority w:val="99"/>
    <w:unhideWhenUsed/>
    <w:rsid w:val="00203DE4"/>
    <w:rPr>
      <w:color w:val="0000FF" w:themeColor="hyperlink"/>
      <w:u w:val="single"/>
    </w:rPr>
  </w:style>
  <w:style w:type="paragraph" w:customStyle="1" w:styleId="ab">
    <w:name w:val="Название"/>
    <w:basedOn w:val="a7"/>
    <w:link w:val="ac"/>
    <w:uiPriority w:val="1"/>
    <w:qFormat/>
    <w:rsid w:val="006A7635"/>
    <w:pPr>
      <w:spacing w:line="276" w:lineRule="auto"/>
    </w:pPr>
    <w:rPr>
      <w:kern w:val="0"/>
      <w:lang w:val="ru-RU"/>
    </w:rPr>
  </w:style>
  <w:style w:type="paragraph" w:customStyle="1" w:styleId="ad">
    <w:name w:val="Авторы"/>
    <w:basedOn w:val="a4"/>
    <w:link w:val="ae"/>
    <w:uiPriority w:val="1"/>
    <w:qFormat/>
    <w:rsid w:val="001042AE"/>
    <w:pPr>
      <w:spacing w:before="120" w:line="276" w:lineRule="auto"/>
      <w:ind w:left="425" w:right="-11"/>
    </w:pPr>
    <w:rPr>
      <w:rFonts w:ascii="Times New Roman" w:hAnsi="Times New Roman" w:cs="Times New Roman"/>
      <w:lang w:val="ru-RU"/>
    </w:rPr>
  </w:style>
  <w:style w:type="character" w:customStyle="1" w:styleId="ac">
    <w:name w:val="Название Знак"/>
    <w:basedOn w:val="a8"/>
    <w:link w:val="ab"/>
    <w:uiPriority w:val="1"/>
    <w:rsid w:val="006A7635"/>
    <w:rPr>
      <w:rFonts w:ascii="Times New Roman" w:eastAsiaTheme="majorEastAsia" w:hAnsi="Times New Roman" w:cstheme="majorBidi"/>
      <w:b/>
      <w:kern w:val="28"/>
      <w:sz w:val="28"/>
      <w:szCs w:val="56"/>
      <w:lang w:val="ru-RU"/>
    </w:rPr>
  </w:style>
  <w:style w:type="paragraph" w:customStyle="1" w:styleId="af">
    <w:name w:val="Аффиляция"/>
    <w:basedOn w:val="a4"/>
    <w:link w:val="af0"/>
    <w:uiPriority w:val="1"/>
    <w:qFormat/>
    <w:rsid w:val="001042AE"/>
    <w:pPr>
      <w:spacing w:before="10" w:after="360" w:line="276" w:lineRule="auto"/>
      <w:ind w:left="0" w:right="1089"/>
    </w:pPr>
    <w:rPr>
      <w:rFonts w:ascii="Times New Roman" w:hAnsi="Times New Roman" w:cs="Times New Roman"/>
      <w:sz w:val="18"/>
      <w:szCs w:val="18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42AE"/>
    <w:rPr>
      <w:rFonts w:ascii="Garamond" w:eastAsia="Garamond" w:hAnsi="Garamond"/>
      <w:sz w:val="20"/>
      <w:szCs w:val="20"/>
    </w:rPr>
  </w:style>
  <w:style w:type="character" w:customStyle="1" w:styleId="ae">
    <w:name w:val="Авторы Знак"/>
    <w:basedOn w:val="a5"/>
    <w:link w:val="ad"/>
    <w:uiPriority w:val="1"/>
    <w:rsid w:val="001042AE"/>
    <w:rPr>
      <w:rFonts w:ascii="Times New Roman" w:eastAsia="Garamond" w:hAnsi="Times New Roman" w:cs="Times New Roman"/>
      <w:sz w:val="20"/>
      <w:szCs w:val="20"/>
      <w:lang w:val="ru-RU"/>
    </w:rPr>
  </w:style>
  <w:style w:type="paragraph" w:customStyle="1" w:styleId="af1">
    <w:name w:val="Первый абзац"/>
    <w:basedOn w:val="a4"/>
    <w:link w:val="af2"/>
    <w:uiPriority w:val="1"/>
    <w:rsid w:val="001042AE"/>
    <w:pPr>
      <w:spacing w:before="360" w:line="276" w:lineRule="auto"/>
      <w:ind w:left="0" w:right="-11" w:firstLine="301"/>
      <w:jc w:val="both"/>
    </w:pPr>
    <w:rPr>
      <w:rFonts w:ascii="Times New Roman" w:hAnsi="Times New Roman" w:cs="Times New Roman"/>
      <w:lang w:val="ru-RU"/>
    </w:rPr>
  </w:style>
  <w:style w:type="character" w:customStyle="1" w:styleId="af0">
    <w:name w:val="Аффиляция Знак"/>
    <w:basedOn w:val="a5"/>
    <w:link w:val="af"/>
    <w:uiPriority w:val="1"/>
    <w:rsid w:val="001042AE"/>
    <w:rPr>
      <w:rFonts w:ascii="Times New Roman" w:eastAsia="Garamond" w:hAnsi="Times New Roman" w:cs="Times New Roman"/>
      <w:sz w:val="18"/>
      <w:szCs w:val="18"/>
      <w:lang w:val="ru-RU"/>
    </w:rPr>
  </w:style>
  <w:style w:type="paragraph" w:customStyle="1" w:styleId="af3">
    <w:name w:val="Текст тезисов"/>
    <w:basedOn w:val="a4"/>
    <w:link w:val="af4"/>
    <w:uiPriority w:val="1"/>
    <w:qFormat/>
    <w:rsid w:val="001042AE"/>
    <w:pPr>
      <w:spacing w:before="120" w:line="276" w:lineRule="auto"/>
      <w:ind w:left="0" w:right="-11" w:firstLine="301"/>
      <w:jc w:val="both"/>
    </w:pPr>
    <w:rPr>
      <w:rFonts w:ascii="Times New Roman" w:hAnsi="Times New Roman" w:cs="Times New Roman"/>
      <w:lang w:val="ru-RU"/>
    </w:rPr>
  </w:style>
  <w:style w:type="character" w:customStyle="1" w:styleId="af2">
    <w:name w:val="Первый абзац Знак"/>
    <w:basedOn w:val="a5"/>
    <w:link w:val="af1"/>
    <w:uiPriority w:val="1"/>
    <w:rsid w:val="001042AE"/>
    <w:rPr>
      <w:rFonts w:ascii="Times New Roman" w:eastAsia="Garamond" w:hAnsi="Times New Roman" w:cs="Times New Roman"/>
      <w:sz w:val="20"/>
      <w:szCs w:val="20"/>
      <w:lang w:val="ru-RU"/>
    </w:rPr>
  </w:style>
  <w:style w:type="paragraph" w:customStyle="1" w:styleId="af5">
    <w:name w:val="Рисунок"/>
    <w:basedOn w:val="a4"/>
    <w:link w:val="af6"/>
    <w:uiPriority w:val="1"/>
    <w:qFormat/>
    <w:rsid w:val="001042AE"/>
    <w:pPr>
      <w:spacing w:before="3" w:line="276" w:lineRule="auto"/>
      <w:ind w:left="0" w:right="-11" w:firstLine="298"/>
      <w:jc w:val="center"/>
    </w:pPr>
    <w:rPr>
      <w:rFonts w:ascii="Times New Roman" w:hAnsi="Times New Roman" w:cs="Times New Roman"/>
      <w:noProof/>
      <w:lang w:val="ru-RU" w:eastAsia="ru-RU"/>
    </w:rPr>
  </w:style>
  <w:style w:type="character" w:customStyle="1" w:styleId="af4">
    <w:name w:val="Текст тезисов Знак"/>
    <w:basedOn w:val="a5"/>
    <w:link w:val="af3"/>
    <w:uiPriority w:val="1"/>
    <w:rsid w:val="001042AE"/>
    <w:rPr>
      <w:rFonts w:ascii="Times New Roman" w:eastAsia="Garamond" w:hAnsi="Times New Roman" w:cs="Times New Roman"/>
      <w:sz w:val="20"/>
      <w:szCs w:val="20"/>
      <w:lang w:val="ru-RU"/>
    </w:rPr>
  </w:style>
  <w:style w:type="paragraph" w:customStyle="1" w:styleId="af7">
    <w:name w:val="Подпись к рисунку"/>
    <w:basedOn w:val="a4"/>
    <w:link w:val="af8"/>
    <w:uiPriority w:val="1"/>
    <w:qFormat/>
    <w:rsid w:val="001042AE"/>
    <w:pPr>
      <w:spacing w:before="3" w:line="276" w:lineRule="auto"/>
      <w:ind w:left="426" w:right="567" w:firstLine="298"/>
      <w:jc w:val="center"/>
    </w:pPr>
    <w:rPr>
      <w:rFonts w:ascii="Times New Roman" w:hAnsi="Times New Roman" w:cs="Times New Roman"/>
      <w:sz w:val="18"/>
      <w:szCs w:val="18"/>
      <w:lang w:val="ru-RU"/>
    </w:rPr>
  </w:style>
  <w:style w:type="character" w:customStyle="1" w:styleId="af6">
    <w:name w:val="Рисунок Знак"/>
    <w:basedOn w:val="a5"/>
    <w:link w:val="af5"/>
    <w:uiPriority w:val="1"/>
    <w:rsid w:val="001042AE"/>
    <w:rPr>
      <w:rFonts w:ascii="Times New Roman" w:eastAsia="Garamond" w:hAnsi="Times New Roman" w:cs="Times New Roman"/>
      <w:noProof/>
      <w:sz w:val="20"/>
      <w:szCs w:val="20"/>
      <w:lang w:val="ru-RU" w:eastAsia="ru-RU"/>
    </w:rPr>
  </w:style>
  <w:style w:type="paragraph" w:customStyle="1" w:styleId="af9">
    <w:name w:val="Литература"/>
    <w:basedOn w:val="a4"/>
    <w:link w:val="afa"/>
    <w:uiPriority w:val="1"/>
    <w:qFormat/>
    <w:rsid w:val="00B65DD5"/>
    <w:pPr>
      <w:spacing w:before="120" w:line="276" w:lineRule="auto"/>
      <w:ind w:left="0"/>
      <w:jc w:val="both"/>
    </w:pPr>
    <w:rPr>
      <w:rFonts w:ascii="Arial" w:hAnsi="Arial" w:cs="Arial"/>
      <w:b/>
      <w:lang w:val="ru-RU"/>
    </w:rPr>
  </w:style>
  <w:style w:type="character" w:customStyle="1" w:styleId="af8">
    <w:name w:val="Подпись к рисунку Знак"/>
    <w:basedOn w:val="a5"/>
    <w:link w:val="af7"/>
    <w:uiPriority w:val="1"/>
    <w:rsid w:val="001042AE"/>
    <w:rPr>
      <w:rFonts w:ascii="Times New Roman" w:eastAsia="Garamond" w:hAnsi="Times New Roman" w:cs="Times New Roman"/>
      <w:sz w:val="18"/>
      <w:szCs w:val="18"/>
      <w:lang w:val="ru-RU"/>
    </w:rPr>
  </w:style>
  <w:style w:type="paragraph" w:customStyle="1" w:styleId="a">
    <w:name w:val="Пункт литературы"/>
    <w:basedOn w:val="af3"/>
    <w:link w:val="afb"/>
    <w:uiPriority w:val="1"/>
    <w:qFormat/>
    <w:rsid w:val="00B65DD5"/>
    <w:pPr>
      <w:numPr>
        <w:numId w:val="1"/>
      </w:numPr>
      <w:ind w:left="426" w:hanging="426"/>
    </w:pPr>
    <w:rPr>
      <w:sz w:val="18"/>
      <w:szCs w:val="18"/>
      <w:lang w:val="en-US"/>
    </w:rPr>
  </w:style>
  <w:style w:type="character" w:customStyle="1" w:styleId="afa">
    <w:name w:val="Литература Знак"/>
    <w:basedOn w:val="a5"/>
    <w:link w:val="af9"/>
    <w:uiPriority w:val="1"/>
    <w:rsid w:val="00B65DD5"/>
    <w:rPr>
      <w:rFonts w:ascii="Arial" w:eastAsia="Garamond" w:hAnsi="Arial" w:cs="Arial"/>
      <w:b/>
      <w:sz w:val="20"/>
      <w:szCs w:val="20"/>
      <w:lang w:val="ru-RU"/>
    </w:rPr>
  </w:style>
  <w:style w:type="character" w:customStyle="1" w:styleId="afb">
    <w:name w:val="Пункт литературы Знак"/>
    <w:basedOn w:val="af4"/>
    <w:link w:val="a"/>
    <w:uiPriority w:val="1"/>
    <w:rsid w:val="00B65DD5"/>
    <w:rPr>
      <w:rFonts w:ascii="Times New Roman" w:eastAsia="Garamond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BEFE-3E41-4774-807C-601E5C70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Дементьев</dc:creator>
  <cp:lastModifiedBy>Dementev</cp:lastModifiedBy>
  <cp:revision>3</cp:revision>
  <dcterms:created xsi:type="dcterms:W3CDTF">2024-11-07T20:24:00Z</dcterms:created>
  <dcterms:modified xsi:type="dcterms:W3CDTF">2024-11-07T20:27:00Z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2024-11-07T00:00:00Z</vt:filetime>
  </property>
</Properties>
</file>